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Bdr>
          <w:top w:val="none" w:color="222222" w:sz="0" w:space="0"/>
          <w:left w:val="none" w:color="222222" w:sz="0" w:space="0"/>
          <w:bottom w:val="single" w:color="cccccc" w:sz="0" w:space="26"/>
          <w:right w:val="none" w:color="222222" w:sz="0" w:space="0"/>
        </w:pBdr>
        <w:spacing w:line="0" w:lineRule="atLeast"/>
        <w:jc w:val="center"/>
        <w:rPr>
          <w:color w:val="222222"/>
          <w:sz w:val="33"/>
          <w:szCs w:val="33"/>
        </w:rPr>
      </w:pPr>
      <w:r>
        <w:rPr>
          <w:color w:val="222222"/>
          <w:sz w:val="33"/>
          <w:szCs w:val="33"/>
        </w:rPr>
        <w:t>Карта диагностики развития воспитанников младшей группы «Познавательное развитие»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анализе показателей возрастного развития детей используйте универсальные маркеры: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0 – показатель не сформирован;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1– показатель сформирован на низком уровне;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 – показатель сформирован на среднем уровне;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 – показатель сформирован на высоком уровне.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Показатели возрастного развития </w:t>
            </w:r>
          </w:p>
        </w:tc>
        <w:tc>
          <w:tcPr>
            <w:tcW w:w="0" w:type="auto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Фамилия и имя ребенка 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</w:t>
            </w:r>
          </w:p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8"/>
                <w:szCs w:val="48"/>
              </w:rPr>
              <w:t>1. Сенсорные эталоны и познавательные действия</w:t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1.1. Действие с предметами 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1.1.1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освоил осязательно-двигательные действия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1.1.2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освоил поисковые исследовательские действия в совместной деятельности со взрослым и сверстниками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1.1.3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умеет сравнивать два предмета по одному признаку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1.2. Представление о цвете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1.2.1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овладел способностью различать основные цвета и оттенки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8"/>
                <w:szCs w:val="48"/>
              </w:rPr>
              <w:t>2. Математическое развитие</w:t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2.1. Количество и счет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2.1.1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умеет устанавливать количественные отношения на основе поэлементного сравнения: столько сколько, столько же, больше, меньше, поровну, не поровну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2.1.2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умеет уравнивать неравные группы предметов путем добавления одного предмета к меньшей группе или удаления одного предмета из большей группы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2.2. Величина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2.2.1 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умеет сравнивать два предмета по одному из параметров: длине, ширине, высоте путем наложения и приложения: длиннее – короче, длинный – короткий, шире – уже, широкий – узкий, выше – ниже, высокий – низкий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2.3. Геометрические фигуры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2.3.1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представления об игрушках, бытовых предметах, инструментах и орудиях труда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2.3.2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представления о геометрических фигурах, их свойствах на основе сравнения: шар – куб, круг – квадрат, квадрат – треугольник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2.4. Ориентировка в пространстве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2.4.1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может ориентироваться по частям тела от себя: вверху – внизу, впереди – сзади, справа – слева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2.5. Ориентировка во времени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2.5.1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представления о частях суток: день – ночь, утро– вечер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8"/>
                <w:szCs w:val="48"/>
              </w:rPr>
              <w:t>3. Окружающий мир</w:t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3.1. Представление о себе, семье, людях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3.1.1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представление о способах общения с людьми: членами семьи, сверстниками, взрослыми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3.2. Предметный мир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3.2.1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представление об игрушках, играх, предметах быта, орудиях труда, одежде, книгах, их назначении и использовании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3.3. Явления общественной жизни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3.3.1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представление об общественных праздниках, событиях, трудовых действиях близких людей в быту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3.4. Моя Родина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3.4.1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представление о месте проживания, некоторых значимых объектах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8"/>
                <w:szCs w:val="48"/>
              </w:rPr>
              <w:t>4. Природа</w:t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4.1. Животные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4.1.1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представление о диких и домашних животных ближайшего окружения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4.1.2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умеет группировать животных по существенным признакам: птицы, звери, насекомые, рыбы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4.2. Растения 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4.2.1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представление о хвойных и лиственных деревьях, кустарниках, овощных, плодовых, цветковых растениях ближайшего окружения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4.3. Явления природы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4.3.1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представление об отдельных признаках смены времен года: осадки, изменения почвенного покрова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4.3.2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представление об изменениях, происходящих в деятельности человека, жизни животных и растений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4.4. Неживая природа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4.4.1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представление о свойствах песка, глины, воды, камней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9fc3cfd382b5457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